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8D42" w14:textId="151D0E82" w:rsidR="00EF6917" w:rsidRDefault="0051350E">
      <w:r>
        <w:rPr>
          <w:noProof/>
        </w:rPr>
        <mc:AlternateContent>
          <mc:Choice Requires="wps">
            <w:drawing>
              <wp:anchor distT="0" distB="0" distL="114300" distR="114300" simplePos="0" relativeHeight="251656704" behindDoc="0" locked="0" layoutInCell="1" allowOverlap="1" wp14:anchorId="4EF09B81" wp14:editId="3B8915FB">
                <wp:simplePos x="0" y="0"/>
                <wp:positionH relativeFrom="column">
                  <wp:posOffset>553720</wp:posOffset>
                </wp:positionH>
                <wp:positionV relativeFrom="paragraph">
                  <wp:posOffset>3316605</wp:posOffset>
                </wp:positionV>
                <wp:extent cx="6648450" cy="6419850"/>
                <wp:effectExtent l="0" t="0" r="0" b="0"/>
                <wp:wrapNone/>
                <wp:docPr id="15023435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41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F582" w14:textId="7BCE7CE3" w:rsidR="00F56EAA" w:rsidRDefault="00F56EAA" w:rsidP="00EB17DF">
                            <w:pPr>
                              <w:jc w:val="both"/>
                              <w:outlineLvl w:val="0"/>
                              <w:rPr>
                                <w:b/>
                                <w:bCs/>
                                <w:kern w:val="36"/>
                              </w:rPr>
                            </w:pPr>
                            <w:r w:rsidRPr="00F56EAA">
                              <w:rPr>
                                <w:b/>
                                <w:bCs/>
                                <w:kern w:val="36"/>
                              </w:rPr>
                              <w:t xml:space="preserve">FÜRACKER: ÜBER 946 MILLIONEN EURO SCHLÜSSELZUWEISUNGEN FÜR Kommunen in  Bayern gem. </w:t>
                            </w:r>
                            <w:r w:rsidR="00DF7CB1">
                              <w:rPr>
                                <w:b/>
                                <w:bCs/>
                                <w:kern w:val="36"/>
                              </w:rPr>
                              <w:t xml:space="preserve"> gem. </w:t>
                            </w:r>
                            <w:r w:rsidRPr="00F56EAA">
                              <w:rPr>
                                <w:b/>
                                <w:bCs/>
                                <w:kern w:val="36"/>
                              </w:rPr>
                              <w:t>Pressemitteilung Nr. 377 v. 5.12.2024</w:t>
                            </w:r>
                          </w:p>
                          <w:p w14:paraId="702E5B61" w14:textId="77777777" w:rsidR="005D529D" w:rsidRDefault="00F56EAA" w:rsidP="005928ED">
                            <w:pPr>
                              <w:pStyle w:val="Listenabsatz"/>
                              <w:numPr>
                                <w:ilvl w:val="0"/>
                                <w:numId w:val="16"/>
                              </w:numPr>
                              <w:jc w:val="both"/>
                              <w:outlineLvl w:val="0"/>
                            </w:pPr>
                            <w:r w:rsidRPr="00F56EAA">
                              <w:t xml:space="preserve">„Inmitten herausfordernder Zeiten – geprägt von weltweiten Unsicherheiten, stetig steigenden Kosten und gekürzten Bundesmitteln – bleibt der Freistaat Bayern weiterhin starker Partner seiner Kommunen! Im Jahr 2025 stellt der Freistaat seinen Kommunen im Rahmen des kommunalen Finanzausgleichs rund </w:t>
                            </w:r>
                            <w:r w:rsidRPr="00EB17DF">
                              <w:rPr>
                                <w:i/>
                                <w:iCs/>
                              </w:rPr>
                              <w:t>12 Milliarden Euro</w:t>
                            </w:r>
                            <w:r w:rsidRPr="00F56EAA">
                              <w:t xml:space="preserve"> zur Verfügung. Das sind über </w:t>
                            </w:r>
                            <w:r w:rsidRPr="00EB17DF">
                              <w:rPr>
                                <w:i/>
                                <w:iCs/>
                              </w:rPr>
                              <w:t>600 Millionen Euro</w:t>
                            </w:r>
                            <w:r w:rsidRPr="00F56EAA">
                              <w:t xml:space="preserve"> </w:t>
                            </w:r>
                            <w:r w:rsidRPr="00EB17DF">
                              <w:rPr>
                                <w:i/>
                                <w:iCs/>
                              </w:rPr>
                              <w:t>mehr als 2024</w:t>
                            </w:r>
                            <w:r w:rsidRPr="00F56EAA">
                              <w:t xml:space="preserve"> und dies trotz deutlich zurückgehender Steuerprognosen für den Staatshaushalt. Die Schlüsselzuweisungen sind die größte Einzelposition im kommunalen Finanzausgleich und damit von erheblicher finanzieller Bedeutung für die Kommunen. Im Jahr 2025 erhalten die bayerischen Landkreise und Gemeinden Schlüsselzuweisungen in Höhe von insgesamt über 4,85 Milliarden Euro. Die Gemeinden und Landkreise in Oberbayern erhalten 2025 Schlüsselzuweisungen in Höhe von insgesamt über 946 Millionen Euro. Unsere Kommunen sind die Schlüsselakteure, um Politik vor Ort lebendig zu machen und aktiv zu gestalten. Diese Leistungen sind nicht nur ein Zeichen der Solidarität, sondern auch ein Bekenntnis zu einer starken und handlungsfähigen Kommunalpolitik: Der Freistaat Bayern steht fest entschlossen und mit voller Energie an der Seite seiner Kommunen!“, betont Finanz- und Heimatminister Albert Füracker anlässlich der Bekanntgabe der Schlüsselzuweisungen für 2025</w:t>
                            </w:r>
                          </w:p>
                          <w:p w14:paraId="6A7B78E2" w14:textId="65E1B2D8" w:rsidR="00F56EAA" w:rsidRDefault="00F56EAA" w:rsidP="005928ED">
                            <w:pPr>
                              <w:pStyle w:val="Listenabsatz"/>
                              <w:numPr>
                                <w:ilvl w:val="0"/>
                                <w:numId w:val="16"/>
                              </w:numPr>
                              <w:jc w:val="both"/>
                              <w:outlineLvl w:val="0"/>
                            </w:pPr>
                            <w:r w:rsidRPr="00F56EAA">
                              <w:t>Die höchsten Schlüsselzuweisungen in Oberbayern gehen mit 48,1 Millionen Euro an den Landkreis Rosenheim. Danach folgt der Landkreis Fürstenfeldbruck mit 44,9 Millionen Euro. Insgesamt erhalten die Landkreise in Oberbayern rund 471 Millionen Euro.</w:t>
                            </w:r>
                            <w:r w:rsidRPr="00F56EAA">
                              <w:br/>
                              <w:t xml:space="preserve">Unter den oberbayerischen Gemeinden hat die Stadt Rosenheim mit 23,8 Millionen Euro die höchsten Schlüsselzuweisungen. Danach folgen die Stadt Ingolstadt mit 17,7 Millionen Euro und die Stadt Fürstenfeldbruck mit 11,1 Millionen Euro. Die Landeshauptstadt München erhält aufgrund einer hohen Steuerkraft auch 2025 keine Schlüsselzuweisungen. Die Schlüsselzuweisungen an die kreisangehörigen Gemeinden in Oberbayern belaufen sich auf über 433 Millionen </w:t>
                            </w:r>
                            <w:proofErr w:type="spellStart"/>
                            <w:r w:rsidRPr="00F56EAA">
                              <w:t>Euro</w:t>
                            </w:r>
                            <w:r w:rsidR="00EB17DF">
                              <w:t>.</w:t>
                            </w:r>
                            <w:r w:rsidRPr="00F56EAA">
                              <w:t>Die</w:t>
                            </w:r>
                            <w:proofErr w:type="spellEnd"/>
                            <w:r w:rsidRPr="00F56EAA">
                              <w:t xml:space="preserve"> Schlüsselzuweisungen sind eine der zentralen Einnahmequellen der bayerischen Kommunen. Sie mildern Unterschiede in der Steuerkraft ab und stärken die finanzielle Leistungsfähigkeit der Kommunen. Kommunen mit geringeren eigenen Steuereinnahmen erhalten höhere Schlüsselzuweisungen. Die Gemeinden und Landkreise können sie frei zur Erfüllung ihrer Aufgaben verwenden. Dies unterstreicht die kommunale Eigenverantwortung und Selbstverwaltung. </w:t>
                            </w:r>
                          </w:p>
                          <w:p w14:paraId="21DA1226" w14:textId="346FA6BC" w:rsidR="00DF7CB1" w:rsidRDefault="00DF7CB1" w:rsidP="00EB17DF">
                            <w:pPr>
                              <w:jc w:val="both"/>
                              <w:outlineLvl w:val="0"/>
                            </w:pPr>
                            <w:r>
                              <w:t>Dazu sind wohl einige sehr wichtige Anmerkungen bzw. Feststellungen erlaubt:</w:t>
                            </w:r>
                          </w:p>
                          <w:p w14:paraId="02905A57" w14:textId="703E360E" w:rsidR="00DF7CB1" w:rsidRDefault="00DF7CB1" w:rsidP="00EB17DF">
                            <w:pPr>
                              <w:pStyle w:val="Listenabsatz"/>
                              <w:numPr>
                                <w:ilvl w:val="0"/>
                                <w:numId w:val="17"/>
                              </w:numPr>
                              <w:jc w:val="both"/>
                              <w:outlineLvl w:val="0"/>
                            </w:pPr>
                            <w:r>
                              <w:t xml:space="preserve">Zurückblickend und erinnert sei hiermit auf die Entwicklung bayerischer Schlüsselzuweisungen </w:t>
                            </w:r>
                            <w:r w:rsidR="00EB17DF">
                              <w:t xml:space="preserve">im KFAG. </w:t>
                            </w:r>
                            <w:r>
                              <w:t>zwischen den Jahren 1980 und 200</w:t>
                            </w:r>
                            <w:r w:rsidR="00A1539D">
                              <w:t>4</w:t>
                            </w:r>
                            <w:r>
                              <w:t xml:space="preserve"> </w:t>
                            </w:r>
                            <w:r w:rsidR="00A1539D">
                              <w:t xml:space="preserve">danach </w:t>
                            </w:r>
                            <w:r>
                              <w:t>–</w:t>
                            </w:r>
                            <w:r w:rsidR="00EB17DF">
                              <w:t>v.</w:t>
                            </w:r>
                            <w:r w:rsidR="00A1539D">
                              <w:t>.1.1.2005</w:t>
                            </w:r>
                            <w:r>
                              <w:t xml:space="preserve"> bis zum 31.12.2024 </w:t>
                            </w:r>
                            <w:proofErr w:type="spellStart"/>
                            <w:r>
                              <w:t>soo</w:t>
                            </w:r>
                            <w:proofErr w:type="spellEnd"/>
                            <w:r w:rsidR="00A1539D">
                              <w:t xml:space="preserve"> Allerdings </w:t>
                            </w:r>
                            <w:r>
                              <w:t xml:space="preserve"> nur in Bayern </w:t>
                            </w:r>
                            <w:r w:rsidR="00A1539D">
                              <w:t xml:space="preserve">und in keinem anderen Bundesland </w:t>
                            </w:r>
                            <w:r>
                              <w:t>anzutreffen</w:t>
                            </w:r>
                            <w:r w:rsidR="00A1539D">
                              <w:t>.</w:t>
                            </w:r>
                            <w:r>
                              <w:t xml:space="preserve"> </w:t>
                            </w:r>
                            <w:r w:rsidR="00EB17DF">
                              <w:t xml:space="preserve"> </w:t>
                            </w:r>
                          </w:p>
                          <w:p w14:paraId="682CAF11" w14:textId="1ACAC6ED" w:rsidR="00EB17DF" w:rsidRPr="00F56EAA" w:rsidRDefault="00EB17DF" w:rsidP="00EB17DF">
                            <w:pPr>
                              <w:pStyle w:val="Listenabsatz"/>
                              <w:numPr>
                                <w:ilvl w:val="0"/>
                                <w:numId w:val="17"/>
                              </w:numPr>
                              <w:jc w:val="both"/>
                              <w:outlineLvl w:val="0"/>
                            </w:pPr>
                            <w:r>
                              <w:t xml:space="preserve">Mit dem Beschluss im </w:t>
                            </w:r>
                            <w:proofErr w:type="spellStart"/>
                            <w:r>
                              <w:t>bayer</w:t>
                            </w:r>
                            <w:proofErr w:type="spellEnd"/>
                            <w:r>
                              <w:t>. Landtag unter M.P. FJ-Strauß wurde die Erhebung einer Zweitwohnungssteuer verboten und den Kommunen als Entschädigung = Ausgleich in der      -.2</w:t>
                            </w:r>
                          </w:p>
                          <w:p w14:paraId="43EFD74C" w14:textId="77777777" w:rsidR="005E4383" w:rsidRDefault="005E4383" w:rsidP="00EB17DF">
                            <w:pPr>
                              <w:jc w:val="both"/>
                              <w:rPr>
                                <w:rFonts w:ascii="Arial" w:hAnsi="Arial" w:cs="Arial"/>
                              </w:rPr>
                            </w:pPr>
                          </w:p>
                          <w:p w14:paraId="605AEA8C" w14:textId="77777777" w:rsidR="005E4383" w:rsidRDefault="005E4383" w:rsidP="00EB17DF">
                            <w:pPr>
                              <w:jc w:val="both"/>
                              <w:rPr>
                                <w:rFonts w:ascii="Arial" w:hAnsi="Arial" w:cs="Arial"/>
                              </w:rPr>
                            </w:pPr>
                          </w:p>
                          <w:p w14:paraId="5BC1F805" w14:textId="77777777" w:rsidR="005E4383" w:rsidRDefault="005E4383" w:rsidP="00EB17DF">
                            <w:pPr>
                              <w:jc w:val="both"/>
                              <w:rPr>
                                <w:rFonts w:ascii="Arial" w:hAnsi="Arial" w:cs="Arial"/>
                              </w:rPr>
                            </w:pPr>
                          </w:p>
                          <w:p w14:paraId="3E49A802" w14:textId="77777777" w:rsidR="005E4383" w:rsidRDefault="005E4383" w:rsidP="00EB17DF">
                            <w:pPr>
                              <w:jc w:val="both"/>
                              <w:rPr>
                                <w:rFonts w:ascii="Arial" w:hAnsi="Arial" w:cs="Arial"/>
                              </w:rPr>
                            </w:pPr>
                          </w:p>
                          <w:p w14:paraId="055E6BD9" w14:textId="77777777" w:rsidR="005E4383" w:rsidRDefault="005E4383" w:rsidP="00EB17DF">
                            <w:pPr>
                              <w:jc w:val="both"/>
                              <w:rPr>
                                <w:rFonts w:ascii="Arial" w:hAnsi="Arial" w:cs="Arial"/>
                              </w:rPr>
                            </w:pPr>
                          </w:p>
                          <w:p w14:paraId="73ABEFB6" w14:textId="77777777" w:rsidR="005E4383" w:rsidRDefault="005E4383" w:rsidP="00EB17DF">
                            <w:pPr>
                              <w:jc w:val="both"/>
                              <w:rPr>
                                <w:rFonts w:ascii="Arial" w:hAnsi="Arial" w:cs="Arial"/>
                              </w:rPr>
                            </w:pPr>
                          </w:p>
                          <w:p w14:paraId="799B0BAE" w14:textId="125C22B3" w:rsidR="002134A8" w:rsidRPr="008E0912" w:rsidRDefault="002134A8" w:rsidP="00EB17DF">
                            <w:pPr>
                              <w:jc w:val="both"/>
                              <w:rPr>
                                <w:rFonts w:ascii="Arial" w:hAnsi="Arial" w:cs="Arial"/>
                              </w:rPr>
                            </w:pPr>
                            <w:r>
                              <w:rPr>
                                <w:rFonts w:ascii="Arial" w:hAnsi="Arial" w:cs="Arial"/>
                              </w:rPr>
                              <w:tab/>
                            </w:r>
                            <w:r w:rsidR="00715F68">
                              <w:rPr>
                                <w:rFonts w:ascii="Arial" w:hAnsi="Arial" w:cs="Arial"/>
                                <w:noProof/>
                              </w:rPr>
                              <w:drawing>
                                <wp:inline distT="0" distB="0" distL="0" distR="0" wp14:anchorId="4B90894D" wp14:editId="262D3855">
                                  <wp:extent cx="121920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1237195" cy="463948"/>
                                          </a:xfrm>
                                          <a:prstGeom prst="rect">
                                            <a:avLst/>
                                          </a:prstGeom>
                                        </pic:spPr>
                                      </pic:pic>
                                    </a:graphicData>
                                  </a:graphic>
                                </wp:inline>
                              </w:drawing>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09B81" id="_x0000_t202" coordsize="21600,21600" o:spt="202" path="m,l,21600r21600,l21600,xe">
                <v:stroke joinstyle="miter"/>
                <v:path gradientshapeok="t" o:connecttype="rect"/>
              </v:shapetype>
              <v:shape id="Text Box 3" o:spid="_x0000_s1026" type="#_x0000_t202" style="position:absolute;margin-left:43.6pt;margin-top:261.15pt;width:523.5pt;height:5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" filled="f" stroked="f">
                <v:textbox>
                  <w:txbxContent>
                    <w:p w14:paraId="1786F582" w14:textId="7BCE7CE3" w:rsidR="00F56EAA" w:rsidRDefault="00F56EAA" w:rsidP="00EB17DF">
                      <w:pPr>
                        <w:jc w:val="both"/>
                        <w:outlineLvl w:val="0"/>
                        <w:rPr>
                          <w:b/>
                          <w:bCs/>
                          <w:kern w:val="36"/>
                        </w:rPr>
                      </w:pPr>
                      <w:r w:rsidRPr="00F56EAA">
                        <w:rPr>
                          <w:b/>
                          <w:bCs/>
                          <w:kern w:val="36"/>
                        </w:rPr>
                        <w:t xml:space="preserve">FÜRACKER: ÜBER 946 MILLIONEN EURO SCHLÜSSELZUWEISUNGEN FÜR Kommunen in  Bayern gem. </w:t>
                      </w:r>
                      <w:r w:rsidR="00DF7CB1">
                        <w:rPr>
                          <w:b/>
                          <w:bCs/>
                          <w:kern w:val="36"/>
                        </w:rPr>
                        <w:t xml:space="preserve"> gem. </w:t>
                      </w:r>
                      <w:r w:rsidRPr="00F56EAA">
                        <w:rPr>
                          <w:b/>
                          <w:bCs/>
                          <w:kern w:val="36"/>
                        </w:rPr>
                        <w:t>Pressemitteilung Nr. 377 v. 5.12.2024</w:t>
                      </w:r>
                    </w:p>
                    <w:p w14:paraId="702E5B61" w14:textId="77777777" w:rsidR="005D529D" w:rsidRDefault="00F56EAA" w:rsidP="005928ED">
                      <w:pPr>
                        <w:pStyle w:val="Listenabsatz"/>
                        <w:numPr>
                          <w:ilvl w:val="0"/>
                          <w:numId w:val="16"/>
                        </w:numPr>
                        <w:jc w:val="both"/>
                        <w:outlineLvl w:val="0"/>
                      </w:pPr>
                      <w:r w:rsidRPr="00F56EAA">
                        <w:t xml:space="preserve">„Inmitten herausfordernder Zeiten – geprägt von weltweiten Unsicherheiten, stetig steigenden Kosten und gekürzten Bundesmitteln – bleibt der Freistaat Bayern weiterhin starker Partner seiner Kommunen! Im Jahr 2025 stellt der Freistaat seinen Kommunen im Rahmen des kommunalen Finanzausgleichs rund </w:t>
                      </w:r>
                      <w:r w:rsidRPr="00EB17DF">
                        <w:rPr>
                          <w:i/>
                          <w:iCs/>
                        </w:rPr>
                        <w:t>12 Milliarden Euro</w:t>
                      </w:r>
                      <w:r w:rsidRPr="00F56EAA">
                        <w:t xml:space="preserve"> zur Verfügung. Das sind über </w:t>
                      </w:r>
                      <w:r w:rsidRPr="00EB17DF">
                        <w:rPr>
                          <w:i/>
                          <w:iCs/>
                        </w:rPr>
                        <w:t>600 Millionen Euro</w:t>
                      </w:r>
                      <w:r w:rsidRPr="00F56EAA">
                        <w:t xml:space="preserve"> </w:t>
                      </w:r>
                      <w:r w:rsidRPr="00EB17DF">
                        <w:rPr>
                          <w:i/>
                          <w:iCs/>
                        </w:rPr>
                        <w:t>mehr als 2024</w:t>
                      </w:r>
                      <w:r w:rsidRPr="00F56EAA">
                        <w:t xml:space="preserve"> und dies trotz deutlich zurückgehender Steuerprognosen für den Staatshaushalt. Die Schlüsselzuweisungen sind die größte Einzelposition im kommunalen Finanzausgleich und damit von erheblicher finanzieller Bedeutung für die Kommunen. Im Jahr 2025 erhalten die bayerischen Landkreise und Gemeinden Schlüsselzuweisungen in Höhe von insgesamt über 4,85 Milliarden Euro. Die Gemeinden und Landkreise in Oberbayern erhalten 2025 Schlüsselzuweisungen in Höhe von insgesamt über 946 Millionen Euro. Unsere Kommunen sind die Schlüsselakteure, um Politik vor Ort lebendig zu machen und aktiv zu gestalten. Diese Leistungen sind nicht nur ein Zeichen der Solidarität, sondern auch ein Bekenntnis zu einer starken und handlungsfähigen Kommunalpolitik: Der Freistaat Bayern steht fest entschlossen und mit voller Energie an der Seite seiner Kommunen!“, betont Finanz- und Heimatminister Albert Füracker anlässlich der Bekanntgabe der Schlüsselzuweisungen für 2025</w:t>
                      </w:r>
                    </w:p>
                    <w:p w14:paraId="6A7B78E2" w14:textId="65E1B2D8" w:rsidR="00F56EAA" w:rsidRDefault="00F56EAA" w:rsidP="005928ED">
                      <w:pPr>
                        <w:pStyle w:val="Listenabsatz"/>
                        <w:numPr>
                          <w:ilvl w:val="0"/>
                          <w:numId w:val="16"/>
                        </w:numPr>
                        <w:jc w:val="both"/>
                        <w:outlineLvl w:val="0"/>
                      </w:pPr>
                      <w:r w:rsidRPr="00F56EAA">
                        <w:t>Die höchsten Schlüsselzuweisungen in Oberbayern gehen mit 48,1 Millionen Euro an den Landkreis Rosenheim. Danach folgt der Landkreis Fürstenfeldbruck mit 44,9 Millionen Euro. Insgesamt erhalten die Landkreise in Oberbayern rund 471 Millionen Euro.</w:t>
                      </w:r>
                      <w:r w:rsidRPr="00F56EAA">
                        <w:br/>
                        <w:t xml:space="preserve">Unter den oberbayerischen Gemeinden hat die Stadt Rosenheim mit 23,8 Millionen Euro die höchsten Schlüsselzuweisungen. Danach folgen die Stadt Ingolstadt mit 17,7 Millionen Euro und die Stadt Fürstenfeldbruck mit 11,1 Millionen Euro. Die Landeshauptstadt München erhält aufgrund einer hohen Steuerkraft auch 2025 keine Schlüsselzuweisungen. Die Schlüsselzuweisungen an die kreisangehörigen Gemeinden in Oberbayern belaufen sich auf über 433 Millionen </w:t>
                      </w:r>
                      <w:proofErr w:type="spellStart"/>
                      <w:r w:rsidRPr="00F56EAA">
                        <w:t>Euro</w:t>
                      </w:r>
                      <w:r w:rsidR="00EB17DF">
                        <w:t>.</w:t>
                      </w:r>
                      <w:r w:rsidRPr="00F56EAA">
                        <w:t>Die</w:t>
                      </w:r>
                      <w:proofErr w:type="spellEnd"/>
                      <w:r w:rsidRPr="00F56EAA">
                        <w:t xml:space="preserve"> Schlüsselzuweisungen sind eine der zentralen Einnahmequellen der bayerischen Kommunen. Sie mildern Unterschiede in der Steuerkraft ab und stärken die finanzielle Leistungsfähigkeit der Kommunen. Kommunen mit geringeren eigenen Steuereinnahmen erhalten höhere Schlüsselzuweisungen. Die Gemeinden und Landkreise können sie frei zur Erfüllung ihrer Aufgaben verwenden. Dies unterstreicht die kommunale Eigenverantwortung und Selbstverwaltung. </w:t>
                      </w:r>
                    </w:p>
                    <w:p w14:paraId="21DA1226" w14:textId="346FA6BC" w:rsidR="00DF7CB1" w:rsidRDefault="00DF7CB1" w:rsidP="00EB17DF">
                      <w:pPr>
                        <w:jc w:val="both"/>
                        <w:outlineLvl w:val="0"/>
                      </w:pPr>
                      <w:r>
                        <w:t>Dazu sind wohl einige sehr wichtige Anmerkungen bzw. Feststellungen erlaubt:</w:t>
                      </w:r>
                    </w:p>
                    <w:p w14:paraId="02905A57" w14:textId="703E360E" w:rsidR="00DF7CB1" w:rsidRDefault="00DF7CB1" w:rsidP="00EB17DF">
                      <w:pPr>
                        <w:pStyle w:val="Listenabsatz"/>
                        <w:numPr>
                          <w:ilvl w:val="0"/>
                          <w:numId w:val="17"/>
                        </w:numPr>
                        <w:jc w:val="both"/>
                        <w:outlineLvl w:val="0"/>
                      </w:pPr>
                      <w:r>
                        <w:t xml:space="preserve">Zurückblickend und erinnert sei hiermit auf die Entwicklung bayerischer Schlüsselzuweisungen </w:t>
                      </w:r>
                      <w:r w:rsidR="00EB17DF">
                        <w:t xml:space="preserve">im KFAG. </w:t>
                      </w:r>
                      <w:r>
                        <w:t>zwischen den Jahren 1980 und 200</w:t>
                      </w:r>
                      <w:r w:rsidR="00A1539D">
                        <w:t>4</w:t>
                      </w:r>
                      <w:r>
                        <w:t xml:space="preserve"> </w:t>
                      </w:r>
                      <w:r w:rsidR="00A1539D">
                        <w:t xml:space="preserve">danach </w:t>
                      </w:r>
                      <w:r>
                        <w:t>–</w:t>
                      </w:r>
                      <w:r w:rsidR="00EB17DF">
                        <w:t>v.</w:t>
                      </w:r>
                      <w:r w:rsidR="00A1539D">
                        <w:t>.1.1.2005</w:t>
                      </w:r>
                      <w:r>
                        <w:t xml:space="preserve"> bis zum 31.12.2024 </w:t>
                      </w:r>
                      <w:proofErr w:type="spellStart"/>
                      <w:r>
                        <w:t>soo</w:t>
                      </w:r>
                      <w:proofErr w:type="spellEnd"/>
                      <w:r w:rsidR="00A1539D">
                        <w:t xml:space="preserve"> Allerdings </w:t>
                      </w:r>
                      <w:r>
                        <w:t xml:space="preserve"> nur in Bayern </w:t>
                      </w:r>
                      <w:r w:rsidR="00A1539D">
                        <w:t xml:space="preserve">und in keinem anderen Bundesland </w:t>
                      </w:r>
                      <w:r>
                        <w:t>anzutreffen</w:t>
                      </w:r>
                      <w:r w:rsidR="00A1539D">
                        <w:t>.</w:t>
                      </w:r>
                      <w:r>
                        <w:t xml:space="preserve"> </w:t>
                      </w:r>
                      <w:r w:rsidR="00EB17DF">
                        <w:t xml:space="preserve"> </w:t>
                      </w:r>
                    </w:p>
                    <w:p w14:paraId="682CAF11" w14:textId="1ACAC6ED" w:rsidR="00EB17DF" w:rsidRPr="00F56EAA" w:rsidRDefault="00EB17DF" w:rsidP="00EB17DF">
                      <w:pPr>
                        <w:pStyle w:val="Listenabsatz"/>
                        <w:numPr>
                          <w:ilvl w:val="0"/>
                          <w:numId w:val="17"/>
                        </w:numPr>
                        <w:jc w:val="both"/>
                        <w:outlineLvl w:val="0"/>
                      </w:pPr>
                      <w:r>
                        <w:t xml:space="preserve">Mit dem Beschluss im </w:t>
                      </w:r>
                      <w:proofErr w:type="spellStart"/>
                      <w:r>
                        <w:t>bayer</w:t>
                      </w:r>
                      <w:proofErr w:type="spellEnd"/>
                      <w:r>
                        <w:t>. Landtag unter M.P. FJ-Strauß wurde die Erhebung einer Zweitwohnungssteuer verboten und den Kommunen als Entschädigung = Ausgleich in der      -.2</w:t>
                      </w:r>
                    </w:p>
                    <w:p w14:paraId="43EFD74C" w14:textId="77777777" w:rsidR="005E4383" w:rsidRDefault="005E4383" w:rsidP="00EB17DF">
                      <w:pPr>
                        <w:jc w:val="both"/>
                        <w:rPr>
                          <w:rFonts w:ascii="Arial" w:hAnsi="Arial" w:cs="Arial"/>
                        </w:rPr>
                      </w:pPr>
                    </w:p>
                    <w:p w14:paraId="605AEA8C" w14:textId="77777777" w:rsidR="005E4383" w:rsidRDefault="005E4383" w:rsidP="00EB17DF">
                      <w:pPr>
                        <w:jc w:val="both"/>
                        <w:rPr>
                          <w:rFonts w:ascii="Arial" w:hAnsi="Arial" w:cs="Arial"/>
                        </w:rPr>
                      </w:pPr>
                    </w:p>
                    <w:p w14:paraId="5BC1F805" w14:textId="77777777" w:rsidR="005E4383" w:rsidRDefault="005E4383" w:rsidP="00EB17DF">
                      <w:pPr>
                        <w:jc w:val="both"/>
                        <w:rPr>
                          <w:rFonts w:ascii="Arial" w:hAnsi="Arial" w:cs="Arial"/>
                        </w:rPr>
                      </w:pPr>
                    </w:p>
                    <w:p w14:paraId="3E49A802" w14:textId="77777777" w:rsidR="005E4383" w:rsidRDefault="005E4383" w:rsidP="00EB17DF">
                      <w:pPr>
                        <w:jc w:val="both"/>
                        <w:rPr>
                          <w:rFonts w:ascii="Arial" w:hAnsi="Arial" w:cs="Arial"/>
                        </w:rPr>
                      </w:pPr>
                    </w:p>
                    <w:p w14:paraId="055E6BD9" w14:textId="77777777" w:rsidR="005E4383" w:rsidRDefault="005E4383" w:rsidP="00EB17DF">
                      <w:pPr>
                        <w:jc w:val="both"/>
                        <w:rPr>
                          <w:rFonts w:ascii="Arial" w:hAnsi="Arial" w:cs="Arial"/>
                        </w:rPr>
                      </w:pPr>
                    </w:p>
                    <w:p w14:paraId="73ABEFB6" w14:textId="77777777" w:rsidR="005E4383" w:rsidRDefault="005E4383" w:rsidP="00EB17DF">
                      <w:pPr>
                        <w:jc w:val="both"/>
                        <w:rPr>
                          <w:rFonts w:ascii="Arial" w:hAnsi="Arial" w:cs="Arial"/>
                        </w:rPr>
                      </w:pPr>
                    </w:p>
                    <w:p w14:paraId="799B0BAE" w14:textId="125C22B3" w:rsidR="002134A8" w:rsidRPr="008E0912" w:rsidRDefault="002134A8" w:rsidP="00EB17DF">
                      <w:pPr>
                        <w:jc w:val="both"/>
                        <w:rPr>
                          <w:rFonts w:ascii="Arial" w:hAnsi="Arial" w:cs="Arial"/>
                        </w:rPr>
                      </w:pPr>
                      <w:r>
                        <w:rPr>
                          <w:rFonts w:ascii="Arial" w:hAnsi="Arial" w:cs="Arial"/>
                        </w:rPr>
                        <w:tab/>
                      </w:r>
                      <w:r w:rsidR="00715F68">
                        <w:rPr>
                          <w:rFonts w:ascii="Arial" w:hAnsi="Arial" w:cs="Arial"/>
                          <w:noProof/>
                        </w:rPr>
                        <w:drawing>
                          <wp:inline distT="0" distB="0" distL="0" distR="0" wp14:anchorId="4B90894D" wp14:editId="262D3855">
                            <wp:extent cx="121920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1237195" cy="463948"/>
                                    </a:xfrm>
                                    <a:prstGeom prst="rect">
                                      <a:avLst/>
                                    </a:prstGeom>
                                  </pic:spPr>
                                </pic:pic>
                              </a:graphicData>
                            </a:graphic>
                          </wp:inline>
                        </w:drawing>
                      </w:r>
                      <w:r>
                        <w:rPr>
                          <w:rFonts w:ascii="Arial" w:hAnsi="Arial" w:cs="Arial"/>
                        </w:rPr>
                        <w:tab/>
                      </w:r>
                    </w:p>
                  </w:txbxContent>
                </v:textbox>
              </v:shape>
            </w:pict>
          </mc:Fallback>
        </mc:AlternateContent>
      </w:r>
      <w:r w:rsidR="00CF4E99">
        <w:rPr>
          <w:noProof/>
        </w:rPr>
        <w:drawing>
          <wp:anchor distT="0" distB="0" distL="114300" distR="114300" simplePos="0" relativeHeight="251658240" behindDoc="1" locked="0" layoutInCell="1" allowOverlap="1" wp14:anchorId="162A2845" wp14:editId="10AB52FB">
            <wp:simplePos x="0" y="0"/>
            <wp:positionH relativeFrom="column">
              <wp:posOffset>-312420</wp:posOffset>
            </wp:positionH>
            <wp:positionV relativeFrom="paragraph">
              <wp:posOffset>-73025</wp:posOffset>
            </wp:positionV>
            <wp:extent cx="7597140" cy="107442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efkopf_Josef_250dp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97140" cy="10744200"/>
                    </a:xfrm>
                    <a:prstGeom prst="rect">
                      <a:avLst/>
                    </a:prstGeom>
                    <a:noFill/>
                    <a:ln w="9525">
                      <a:noFill/>
                      <a:miter lim="800000"/>
                      <a:headEnd/>
                      <a:tailEnd/>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7728" behindDoc="0" locked="0" layoutInCell="1" allowOverlap="1" wp14:anchorId="34CA461D" wp14:editId="7A6F5C27">
                <wp:simplePos x="0" y="0"/>
                <wp:positionH relativeFrom="column">
                  <wp:posOffset>439420</wp:posOffset>
                </wp:positionH>
                <wp:positionV relativeFrom="paragraph">
                  <wp:posOffset>1849755</wp:posOffset>
                </wp:positionV>
                <wp:extent cx="2433955" cy="1270635"/>
                <wp:effectExtent l="0" t="0" r="4445" b="0"/>
                <wp:wrapNone/>
                <wp:docPr id="1816460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1D8E" w14:textId="4FE90399" w:rsidR="00495681" w:rsidRDefault="00F56EAA" w:rsidP="00F54D63">
                            <w:pPr>
                              <w:rPr>
                                <w:sz w:val="28"/>
                                <w:szCs w:val="28"/>
                              </w:rPr>
                            </w:pPr>
                            <w:r>
                              <w:rPr>
                                <w:sz w:val="28"/>
                                <w:szCs w:val="28"/>
                              </w:rPr>
                              <w:t>An alle Mitglieder des Vereins</w:t>
                            </w:r>
                          </w:p>
                          <w:p w14:paraId="4A4935F7" w14:textId="7B5381C5" w:rsidR="00F56EAA" w:rsidRDefault="00F56EAA" w:rsidP="00F54D63">
                            <w:pPr>
                              <w:rPr>
                                <w:sz w:val="28"/>
                                <w:szCs w:val="28"/>
                              </w:rPr>
                            </w:pPr>
                            <w:r>
                              <w:rPr>
                                <w:sz w:val="28"/>
                                <w:szCs w:val="28"/>
                              </w:rPr>
                              <w:t xml:space="preserve">Freunde für Ferien in </w:t>
                            </w:r>
                            <w:proofErr w:type="spellStart"/>
                            <w:r>
                              <w:rPr>
                                <w:sz w:val="28"/>
                                <w:szCs w:val="28"/>
                              </w:rPr>
                              <w:t>Bayern.e.V</w:t>
                            </w:r>
                            <w:proofErr w:type="spellEnd"/>
                            <w:r>
                              <w:rPr>
                                <w:sz w:val="28"/>
                                <w:szCs w:val="28"/>
                              </w:rPr>
                              <w:t>.</w:t>
                            </w:r>
                          </w:p>
                          <w:p w14:paraId="00BDED0C" w14:textId="0D19A7AA" w:rsidR="00F56EAA" w:rsidRDefault="00F56EAA" w:rsidP="00F54D63">
                            <w:pPr>
                              <w:rPr>
                                <w:sz w:val="28"/>
                                <w:szCs w:val="28"/>
                              </w:rPr>
                            </w:pPr>
                            <w:r>
                              <w:rPr>
                                <w:sz w:val="28"/>
                                <w:szCs w:val="28"/>
                              </w:rPr>
                              <w:t xml:space="preserve">Gleichzeitig per Mail an </w:t>
                            </w:r>
                          </w:p>
                          <w:p w14:paraId="73E0952D" w14:textId="3CB9C573" w:rsidR="00F56EAA" w:rsidRPr="00495681" w:rsidRDefault="00F56EAA" w:rsidP="00F54D63">
                            <w:pPr>
                              <w:rPr>
                                <w:sz w:val="28"/>
                                <w:szCs w:val="28"/>
                              </w:rPr>
                            </w:pPr>
                            <w:r>
                              <w:rPr>
                                <w:sz w:val="28"/>
                                <w:szCs w:val="28"/>
                              </w:rPr>
                              <w:t xml:space="preserve">Presseorgane und die </w:t>
                            </w:r>
                            <w:proofErr w:type="spellStart"/>
                            <w:r>
                              <w:rPr>
                                <w:sz w:val="28"/>
                                <w:szCs w:val="28"/>
                              </w:rPr>
                              <w:t>bayer</w:t>
                            </w:r>
                            <w:proofErr w:type="spellEnd"/>
                            <w:r>
                              <w:rPr>
                                <w:sz w:val="28"/>
                                <w:szCs w:val="28"/>
                              </w:rPr>
                              <w:t xml:space="preserve">. Staatsregierung und an </w:t>
                            </w:r>
                            <w:r w:rsidR="00DF7CB1">
                              <w:rPr>
                                <w:sz w:val="28"/>
                                <w:szCs w:val="28"/>
                              </w:rPr>
                              <w:t xml:space="preserve">Herrn </w:t>
                            </w:r>
                            <w:r>
                              <w:rPr>
                                <w:sz w:val="28"/>
                                <w:szCs w:val="28"/>
                              </w:rPr>
                              <w:t xml:space="preserve"> Finanzmin</w:t>
                            </w:r>
                            <w:r w:rsidR="00A1539D">
                              <w:rPr>
                                <w:sz w:val="28"/>
                                <w:szCs w:val="28"/>
                              </w:rPr>
                              <w:t>i</w:t>
                            </w:r>
                            <w:r>
                              <w:rPr>
                                <w:sz w:val="28"/>
                                <w:szCs w:val="28"/>
                              </w:rPr>
                              <w:t xml:space="preserve">ster </w:t>
                            </w:r>
                            <w:r w:rsidR="00DF7CB1">
                              <w:rPr>
                                <w:sz w:val="28"/>
                                <w:szCs w:val="28"/>
                              </w:rPr>
                              <w:t xml:space="preserve">Füracker </w:t>
                            </w: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461D" id="Text Box 4" o:spid="_x0000_s1027" type="#_x0000_t202" style="position:absolute;margin-left:34.6pt;margin-top:145.65pt;width:191.65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" filled="f" stroked="f">
                <v:textbox inset="0,0,0,0">
                  <w:txbxContent>
                    <w:p w14:paraId="46261D8E" w14:textId="4FE90399" w:rsidR="00495681" w:rsidRDefault="00F56EAA" w:rsidP="00F54D63">
                      <w:pPr>
                        <w:rPr>
                          <w:sz w:val="28"/>
                          <w:szCs w:val="28"/>
                        </w:rPr>
                      </w:pPr>
                      <w:r>
                        <w:rPr>
                          <w:sz w:val="28"/>
                          <w:szCs w:val="28"/>
                        </w:rPr>
                        <w:t>An alle Mitglieder des Vereins</w:t>
                      </w:r>
                    </w:p>
                    <w:p w14:paraId="4A4935F7" w14:textId="7B5381C5" w:rsidR="00F56EAA" w:rsidRDefault="00F56EAA" w:rsidP="00F54D63">
                      <w:pPr>
                        <w:rPr>
                          <w:sz w:val="28"/>
                          <w:szCs w:val="28"/>
                        </w:rPr>
                      </w:pPr>
                      <w:r>
                        <w:rPr>
                          <w:sz w:val="28"/>
                          <w:szCs w:val="28"/>
                        </w:rPr>
                        <w:t>Freunde für Ferien in Bayern.e.V.</w:t>
                      </w:r>
                    </w:p>
                    <w:p w14:paraId="00BDED0C" w14:textId="0D19A7AA" w:rsidR="00F56EAA" w:rsidRDefault="00F56EAA" w:rsidP="00F54D63">
                      <w:pPr>
                        <w:rPr>
                          <w:sz w:val="28"/>
                          <w:szCs w:val="28"/>
                        </w:rPr>
                      </w:pPr>
                      <w:r>
                        <w:rPr>
                          <w:sz w:val="28"/>
                          <w:szCs w:val="28"/>
                        </w:rPr>
                        <w:t xml:space="preserve">Gleichzeitig per Mail an </w:t>
                      </w:r>
                    </w:p>
                    <w:p w14:paraId="73E0952D" w14:textId="3CB9C573" w:rsidR="00F56EAA" w:rsidRPr="00495681" w:rsidRDefault="00F56EAA" w:rsidP="00F54D63">
                      <w:pPr>
                        <w:rPr>
                          <w:sz w:val="28"/>
                          <w:szCs w:val="28"/>
                        </w:rPr>
                      </w:pPr>
                      <w:r>
                        <w:rPr>
                          <w:sz w:val="28"/>
                          <w:szCs w:val="28"/>
                        </w:rPr>
                        <w:t xml:space="preserve">Presseorgane und die bayer. Staatsregierung und an </w:t>
                      </w:r>
                      <w:r w:rsidR="00DF7CB1">
                        <w:rPr>
                          <w:sz w:val="28"/>
                          <w:szCs w:val="28"/>
                        </w:rPr>
                        <w:t xml:space="preserve">Herrn </w:t>
                      </w:r>
                      <w:r>
                        <w:rPr>
                          <w:sz w:val="28"/>
                          <w:szCs w:val="28"/>
                        </w:rPr>
                        <w:t xml:space="preserve"> Finanzmin</w:t>
                      </w:r>
                      <w:r w:rsidR="00A1539D">
                        <w:rPr>
                          <w:sz w:val="28"/>
                          <w:szCs w:val="28"/>
                        </w:rPr>
                        <w:t>i</w:t>
                      </w:r>
                      <w:r>
                        <w:rPr>
                          <w:sz w:val="28"/>
                          <w:szCs w:val="28"/>
                        </w:rPr>
                        <w:t xml:space="preserve">ster </w:t>
                      </w:r>
                      <w:r w:rsidR="00DF7CB1">
                        <w:rPr>
                          <w:sz w:val="28"/>
                          <w:szCs w:val="28"/>
                        </w:rPr>
                        <w:t xml:space="preserve">Füracker </w:t>
                      </w:r>
                      <w:r>
                        <w:rPr>
                          <w:sz w:val="28"/>
                          <w:szCs w:val="28"/>
                        </w:rPr>
                        <w:t xml:space="preserve"> </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07A83AE" wp14:editId="70C11313">
                <wp:simplePos x="0" y="0"/>
                <wp:positionH relativeFrom="column">
                  <wp:posOffset>5668645</wp:posOffset>
                </wp:positionH>
                <wp:positionV relativeFrom="paragraph">
                  <wp:posOffset>2799080</wp:posOffset>
                </wp:positionV>
                <wp:extent cx="1054100" cy="228600"/>
                <wp:effectExtent l="0" t="0" r="3175" b="3175"/>
                <wp:wrapNone/>
                <wp:docPr id="8085968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6E57" w14:textId="4540C13D" w:rsidR="00895CCA" w:rsidRDefault="00F56EAA" w:rsidP="000C7FF6">
                            <w:r w:rsidRPr="00F56EAA">
                              <w:rPr>
                                <w:sz w:val="20"/>
                                <w:szCs w:val="20"/>
                              </w:rPr>
                              <w:t>7.Dezember</w:t>
                            </w:r>
                            <w:r>
                              <w:t xml:space="preserve"> 2024</w:t>
                            </w:r>
                            <w:r w:rsidR="00CF4E99">
                              <w:t xml:space="preserve"> 2024</w:t>
                            </w:r>
                            <w:r w:rsidR="00A32964">
                              <w:t>4.10.2024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3AE" id="Text Box 16" o:spid="_x0000_s1028" type="#_x0000_t202" style="position:absolute;margin-left:446.35pt;margin-top:220.4pt;width:83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" filled="f" stroked="f">
                <v:textbox inset="0,0,0,0">
                  <w:txbxContent>
                    <w:p w14:paraId="447D6E57" w14:textId="4540C13D" w:rsidR="00895CCA" w:rsidRDefault="00F56EAA" w:rsidP="000C7FF6">
                      <w:r w:rsidRPr="00F56EAA">
                        <w:rPr>
                          <w:sz w:val="20"/>
                          <w:szCs w:val="20"/>
                        </w:rPr>
                        <w:t>7.Dezember</w:t>
                      </w:r>
                      <w:r>
                        <w:t xml:space="preserve"> 2024</w:t>
                      </w:r>
                      <w:r w:rsidR="00CF4E99">
                        <w:t xml:space="preserve"> 2024</w:t>
                      </w:r>
                      <w:r w:rsidR="00A32964">
                        <w:t>4.10.2024</w:t>
                      </w:r>
                    </w:p>
                  </w:txbxContent>
                </v:textbox>
              </v:shape>
            </w:pict>
          </mc:Fallback>
        </mc:AlternateContent>
      </w:r>
    </w:p>
    <w:sectPr w:rsidR="00EF6917" w:rsidSect="00C36946">
      <w:pgSz w:w="11906" w:h="16838"/>
      <w:pgMar w:top="102" w:right="193" w:bottom="663" w:left="1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A264" w14:textId="77777777" w:rsidR="00DE7B62" w:rsidRDefault="00DE7B62">
      <w:r>
        <w:separator/>
      </w:r>
    </w:p>
  </w:endnote>
  <w:endnote w:type="continuationSeparator" w:id="0">
    <w:p w14:paraId="150FD0BA" w14:textId="77777777" w:rsidR="00DE7B62" w:rsidRDefault="00DE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0402" w14:textId="77777777" w:rsidR="00DE7B62" w:rsidRDefault="00DE7B62">
      <w:r>
        <w:separator/>
      </w:r>
    </w:p>
  </w:footnote>
  <w:footnote w:type="continuationSeparator" w:id="0">
    <w:p w14:paraId="755116A8" w14:textId="77777777" w:rsidR="00DE7B62" w:rsidRDefault="00DE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C3B"/>
    <w:multiLevelType w:val="hybridMultilevel"/>
    <w:tmpl w:val="7B781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45E"/>
    <w:multiLevelType w:val="hybridMultilevel"/>
    <w:tmpl w:val="31981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EA6BA0"/>
    <w:multiLevelType w:val="hybridMultilevel"/>
    <w:tmpl w:val="3E9EAC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AAA2AF6"/>
    <w:multiLevelType w:val="hybridMultilevel"/>
    <w:tmpl w:val="C99C0E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854897"/>
    <w:multiLevelType w:val="hybridMultilevel"/>
    <w:tmpl w:val="27101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6A0DEB"/>
    <w:multiLevelType w:val="hybridMultilevel"/>
    <w:tmpl w:val="2C26F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2D05A1"/>
    <w:multiLevelType w:val="hybridMultilevel"/>
    <w:tmpl w:val="A760A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A3F27"/>
    <w:multiLevelType w:val="hybridMultilevel"/>
    <w:tmpl w:val="146E1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DA655F"/>
    <w:multiLevelType w:val="hybridMultilevel"/>
    <w:tmpl w:val="53C4E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B025C"/>
    <w:multiLevelType w:val="hybridMultilevel"/>
    <w:tmpl w:val="F4C4C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F801BD"/>
    <w:multiLevelType w:val="hybridMultilevel"/>
    <w:tmpl w:val="28E65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DF734E"/>
    <w:multiLevelType w:val="hybridMultilevel"/>
    <w:tmpl w:val="97BEC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0F0BA1"/>
    <w:multiLevelType w:val="hybridMultilevel"/>
    <w:tmpl w:val="9132B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4B33B2"/>
    <w:multiLevelType w:val="hybridMultilevel"/>
    <w:tmpl w:val="E2FA14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30021FE"/>
    <w:multiLevelType w:val="hybridMultilevel"/>
    <w:tmpl w:val="B024E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A24396"/>
    <w:multiLevelType w:val="hybridMultilevel"/>
    <w:tmpl w:val="2C9CD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784039"/>
    <w:multiLevelType w:val="hybridMultilevel"/>
    <w:tmpl w:val="3132B5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0301625">
    <w:abstractNumId w:val="9"/>
  </w:num>
  <w:num w:numId="2" w16cid:durableId="160660641">
    <w:abstractNumId w:val="16"/>
  </w:num>
  <w:num w:numId="3" w16cid:durableId="1096436606">
    <w:abstractNumId w:val="10"/>
  </w:num>
  <w:num w:numId="4" w16cid:durableId="1644383584">
    <w:abstractNumId w:val="3"/>
  </w:num>
  <w:num w:numId="5" w16cid:durableId="2070227512">
    <w:abstractNumId w:val="14"/>
  </w:num>
  <w:num w:numId="6" w16cid:durableId="1494177363">
    <w:abstractNumId w:val="1"/>
  </w:num>
  <w:num w:numId="7" w16cid:durableId="957369049">
    <w:abstractNumId w:val="2"/>
  </w:num>
  <w:num w:numId="8" w16cid:durableId="1811244156">
    <w:abstractNumId w:val="8"/>
  </w:num>
  <w:num w:numId="9" w16cid:durableId="2113551592">
    <w:abstractNumId w:val="12"/>
  </w:num>
  <w:num w:numId="10" w16cid:durableId="415596439">
    <w:abstractNumId w:val="5"/>
  </w:num>
  <w:num w:numId="11" w16cid:durableId="1612395163">
    <w:abstractNumId w:val="6"/>
  </w:num>
  <w:num w:numId="12" w16cid:durableId="244385679">
    <w:abstractNumId w:val="7"/>
  </w:num>
  <w:num w:numId="13" w16cid:durableId="522786517">
    <w:abstractNumId w:val="4"/>
  </w:num>
  <w:num w:numId="14" w16cid:durableId="2037582357">
    <w:abstractNumId w:val="0"/>
  </w:num>
  <w:num w:numId="15" w16cid:durableId="1581329416">
    <w:abstractNumId w:val="15"/>
  </w:num>
  <w:num w:numId="16" w16cid:durableId="1797289617">
    <w:abstractNumId w:val="11"/>
  </w:num>
  <w:num w:numId="17" w16cid:durableId="1975255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2B"/>
    <w:rsid w:val="00001B73"/>
    <w:rsid w:val="00002878"/>
    <w:rsid w:val="00002B8D"/>
    <w:rsid w:val="00003125"/>
    <w:rsid w:val="000213C1"/>
    <w:rsid w:val="00021957"/>
    <w:rsid w:val="00054B95"/>
    <w:rsid w:val="0006786A"/>
    <w:rsid w:val="000A110F"/>
    <w:rsid w:val="000A4D6C"/>
    <w:rsid w:val="000B7114"/>
    <w:rsid w:val="000C7FF6"/>
    <w:rsid w:val="000E364F"/>
    <w:rsid w:val="00127782"/>
    <w:rsid w:val="0013008B"/>
    <w:rsid w:val="00170D9F"/>
    <w:rsid w:val="001726F6"/>
    <w:rsid w:val="00176898"/>
    <w:rsid w:val="0018782B"/>
    <w:rsid w:val="001A4A7C"/>
    <w:rsid w:val="001C5738"/>
    <w:rsid w:val="001D09B1"/>
    <w:rsid w:val="001E0E2B"/>
    <w:rsid w:val="00210F2C"/>
    <w:rsid w:val="002134A8"/>
    <w:rsid w:val="00220842"/>
    <w:rsid w:val="0022194F"/>
    <w:rsid w:val="00222D63"/>
    <w:rsid w:val="00224163"/>
    <w:rsid w:val="0022517F"/>
    <w:rsid w:val="00226EDA"/>
    <w:rsid w:val="0024171B"/>
    <w:rsid w:val="00276B95"/>
    <w:rsid w:val="00284C82"/>
    <w:rsid w:val="00287561"/>
    <w:rsid w:val="002A5545"/>
    <w:rsid w:val="002C343E"/>
    <w:rsid w:val="002D5253"/>
    <w:rsid w:val="00306A2A"/>
    <w:rsid w:val="00350FD6"/>
    <w:rsid w:val="00381601"/>
    <w:rsid w:val="00384616"/>
    <w:rsid w:val="00384927"/>
    <w:rsid w:val="00385980"/>
    <w:rsid w:val="00387F55"/>
    <w:rsid w:val="00396F9A"/>
    <w:rsid w:val="003A1FEB"/>
    <w:rsid w:val="003E1AB9"/>
    <w:rsid w:val="003F6E72"/>
    <w:rsid w:val="00406CE5"/>
    <w:rsid w:val="00441B87"/>
    <w:rsid w:val="00473D03"/>
    <w:rsid w:val="00484EAA"/>
    <w:rsid w:val="00495681"/>
    <w:rsid w:val="004A0E2E"/>
    <w:rsid w:val="004E5A39"/>
    <w:rsid w:val="004F7F03"/>
    <w:rsid w:val="005079A5"/>
    <w:rsid w:val="0051350E"/>
    <w:rsid w:val="005412F9"/>
    <w:rsid w:val="0054257C"/>
    <w:rsid w:val="00552B36"/>
    <w:rsid w:val="00562C1B"/>
    <w:rsid w:val="00580AF5"/>
    <w:rsid w:val="00586DF4"/>
    <w:rsid w:val="0059314C"/>
    <w:rsid w:val="00593DEA"/>
    <w:rsid w:val="005C2648"/>
    <w:rsid w:val="005D44C7"/>
    <w:rsid w:val="005D529D"/>
    <w:rsid w:val="005E4383"/>
    <w:rsid w:val="005F0B8B"/>
    <w:rsid w:val="005F6AFF"/>
    <w:rsid w:val="0061127C"/>
    <w:rsid w:val="00625F94"/>
    <w:rsid w:val="00634490"/>
    <w:rsid w:val="00634C9F"/>
    <w:rsid w:val="0065342E"/>
    <w:rsid w:val="006909A3"/>
    <w:rsid w:val="00691598"/>
    <w:rsid w:val="006A0AD4"/>
    <w:rsid w:val="006A2307"/>
    <w:rsid w:val="006B10C5"/>
    <w:rsid w:val="006C2048"/>
    <w:rsid w:val="006C5AD6"/>
    <w:rsid w:val="006C6700"/>
    <w:rsid w:val="006F3E2D"/>
    <w:rsid w:val="00715F68"/>
    <w:rsid w:val="007213EA"/>
    <w:rsid w:val="0072500F"/>
    <w:rsid w:val="00741D7C"/>
    <w:rsid w:val="007424B2"/>
    <w:rsid w:val="0079322E"/>
    <w:rsid w:val="007A3196"/>
    <w:rsid w:val="007B4964"/>
    <w:rsid w:val="007C4939"/>
    <w:rsid w:val="007E42B6"/>
    <w:rsid w:val="00803513"/>
    <w:rsid w:val="00806F44"/>
    <w:rsid w:val="00847C60"/>
    <w:rsid w:val="00867606"/>
    <w:rsid w:val="0087654D"/>
    <w:rsid w:val="00885240"/>
    <w:rsid w:val="00892210"/>
    <w:rsid w:val="00895CCA"/>
    <w:rsid w:val="008A59A6"/>
    <w:rsid w:val="008B56CD"/>
    <w:rsid w:val="008B5E06"/>
    <w:rsid w:val="008C6306"/>
    <w:rsid w:val="008C74A8"/>
    <w:rsid w:val="008E0912"/>
    <w:rsid w:val="009035BE"/>
    <w:rsid w:val="00914744"/>
    <w:rsid w:val="009421A7"/>
    <w:rsid w:val="00962578"/>
    <w:rsid w:val="009713E8"/>
    <w:rsid w:val="0097637E"/>
    <w:rsid w:val="009849A0"/>
    <w:rsid w:val="009A318A"/>
    <w:rsid w:val="009B141F"/>
    <w:rsid w:val="009C272D"/>
    <w:rsid w:val="009D7ADB"/>
    <w:rsid w:val="009F41A2"/>
    <w:rsid w:val="009F7F27"/>
    <w:rsid w:val="00A1539D"/>
    <w:rsid w:val="00A32964"/>
    <w:rsid w:val="00A61BD8"/>
    <w:rsid w:val="00A73DE7"/>
    <w:rsid w:val="00A75281"/>
    <w:rsid w:val="00AA07D2"/>
    <w:rsid w:val="00AC3A3B"/>
    <w:rsid w:val="00AF1F2B"/>
    <w:rsid w:val="00B05FF2"/>
    <w:rsid w:val="00B14327"/>
    <w:rsid w:val="00B14470"/>
    <w:rsid w:val="00B17B8A"/>
    <w:rsid w:val="00B223FB"/>
    <w:rsid w:val="00B445E3"/>
    <w:rsid w:val="00B5144C"/>
    <w:rsid w:val="00B5187E"/>
    <w:rsid w:val="00B52205"/>
    <w:rsid w:val="00B71AC4"/>
    <w:rsid w:val="00B907CA"/>
    <w:rsid w:val="00BA0D82"/>
    <w:rsid w:val="00BC327F"/>
    <w:rsid w:val="00BC4AFC"/>
    <w:rsid w:val="00BD037E"/>
    <w:rsid w:val="00BD7322"/>
    <w:rsid w:val="00BE038D"/>
    <w:rsid w:val="00BE48F7"/>
    <w:rsid w:val="00C36946"/>
    <w:rsid w:val="00CA1B2E"/>
    <w:rsid w:val="00CA3491"/>
    <w:rsid w:val="00CF4E99"/>
    <w:rsid w:val="00D233F6"/>
    <w:rsid w:val="00D34EFD"/>
    <w:rsid w:val="00D5234C"/>
    <w:rsid w:val="00D70B82"/>
    <w:rsid w:val="00D83117"/>
    <w:rsid w:val="00D94C37"/>
    <w:rsid w:val="00DE126B"/>
    <w:rsid w:val="00DE7B62"/>
    <w:rsid w:val="00DF1ECA"/>
    <w:rsid w:val="00DF7CB1"/>
    <w:rsid w:val="00E10F3A"/>
    <w:rsid w:val="00E640D9"/>
    <w:rsid w:val="00EA1D42"/>
    <w:rsid w:val="00EB17DF"/>
    <w:rsid w:val="00EF4F0D"/>
    <w:rsid w:val="00EF6917"/>
    <w:rsid w:val="00F0200D"/>
    <w:rsid w:val="00F04755"/>
    <w:rsid w:val="00F05F51"/>
    <w:rsid w:val="00F21C3F"/>
    <w:rsid w:val="00F41498"/>
    <w:rsid w:val="00F54D63"/>
    <w:rsid w:val="00F56EAA"/>
    <w:rsid w:val="00F63756"/>
    <w:rsid w:val="00F8761D"/>
    <w:rsid w:val="00F95C4D"/>
    <w:rsid w:val="00FD356F"/>
    <w:rsid w:val="00FD6C55"/>
    <w:rsid w:val="00FE04C9"/>
    <w:rsid w:val="00FE2A37"/>
    <w:rsid w:val="00FF4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A954"/>
  <w15:docId w15:val="{E9194B1D-A29A-48CB-99BC-73CE102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13E8"/>
  </w:style>
  <w:style w:type="paragraph" w:styleId="berschrift1">
    <w:name w:val="heading 1"/>
    <w:basedOn w:val="Standard"/>
    <w:next w:val="Standard"/>
    <w:link w:val="berschrift1Zchn"/>
    <w:rsid w:val="00F56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0031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41498"/>
    <w:pPr>
      <w:tabs>
        <w:tab w:val="center" w:pos="4536"/>
        <w:tab w:val="right" w:pos="9072"/>
      </w:tabs>
    </w:pPr>
  </w:style>
  <w:style w:type="paragraph" w:styleId="Fuzeile">
    <w:name w:val="footer"/>
    <w:basedOn w:val="Standard"/>
    <w:rsid w:val="00F41498"/>
    <w:pPr>
      <w:tabs>
        <w:tab w:val="center" w:pos="4536"/>
        <w:tab w:val="right" w:pos="9072"/>
      </w:tabs>
    </w:pPr>
  </w:style>
  <w:style w:type="paragraph" w:styleId="Sprechblasentext">
    <w:name w:val="Balloon Text"/>
    <w:basedOn w:val="Standard"/>
    <w:link w:val="SprechblasentextZchn"/>
    <w:uiPriority w:val="99"/>
    <w:semiHidden/>
    <w:unhideWhenUsed/>
    <w:rsid w:val="009A31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318A"/>
    <w:rPr>
      <w:rFonts w:ascii="Tahoma" w:hAnsi="Tahoma" w:cs="Tahoma"/>
      <w:sz w:val="16"/>
      <w:szCs w:val="16"/>
    </w:rPr>
  </w:style>
  <w:style w:type="character" w:styleId="Fett">
    <w:name w:val="Strong"/>
    <w:basedOn w:val="Absatz-Standardschriftart"/>
    <w:uiPriority w:val="22"/>
    <w:qFormat/>
    <w:rsid w:val="00BD037E"/>
    <w:rPr>
      <w:b/>
      <w:bCs/>
    </w:rPr>
  </w:style>
  <w:style w:type="paragraph" w:styleId="HTMLVorformatiert">
    <w:name w:val="HTML Preformatted"/>
    <w:basedOn w:val="Standard"/>
    <w:link w:val="HTMLVorformatiertZchn"/>
    <w:uiPriority w:val="99"/>
    <w:semiHidden/>
    <w:unhideWhenUsed/>
    <w:rsid w:val="0047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73D03"/>
    <w:rPr>
      <w:rFonts w:ascii="Courier New" w:hAnsi="Courier New" w:cs="Courier New"/>
    </w:rPr>
  </w:style>
  <w:style w:type="paragraph" w:styleId="Listenabsatz">
    <w:name w:val="List Paragraph"/>
    <w:basedOn w:val="Standard"/>
    <w:uiPriority w:val="34"/>
    <w:qFormat/>
    <w:rsid w:val="002A5545"/>
    <w:pPr>
      <w:ind w:left="720"/>
      <w:contextualSpacing/>
    </w:pPr>
  </w:style>
  <w:style w:type="paragraph" w:styleId="StandardWeb">
    <w:name w:val="Normal (Web)"/>
    <w:basedOn w:val="Standard"/>
    <w:uiPriority w:val="99"/>
    <w:semiHidden/>
    <w:unhideWhenUsed/>
    <w:rsid w:val="0013008B"/>
    <w:pPr>
      <w:spacing w:before="100" w:beforeAutospacing="1" w:after="100" w:afterAutospacing="1"/>
    </w:pPr>
  </w:style>
  <w:style w:type="character" w:customStyle="1" w:styleId="berschrift3Zchn">
    <w:name w:val="Überschrift 3 Zchn"/>
    <w:basedOn w:val="Absatz-Standardschriftart"/>
    <w:link w:val="berschrift3"/>
    <w:uiPriority w:val="9"/>
    <w:rsid w:val="00003125"/>
    <w:rPr>
      <w:b/>
      <w:bCs/>
      <w:sz w:val="27"/>
      <w:szCs w:val="27"/>
    </w:rPr>
  </w:style>
  <w:style w:type="character" w:styleId="Hyperlink">
    <w:name w:val="Hyperlink"/>
    <w:basedOn w:val="Absatz-Standardschriftart"/>
    <w:uiPriority w:val="99"/>
    <w:unhideWhenUsed/>
    <w:rsid w:val="00B05FF2"/>
    <w:rPr>
      <w:color w:val="0000FF" w:themeColor="hyperlink"/>
      <w:u w:val="single"/>
    </w:rPr>
  </w:style>
  <w:style w:type="character" w:styleId="NichtaufgelsteErwhnung">
    <w:name w:val="Unresolved Mention"/>
    <w:basedOn w:val="Absatz-Standardschriftart"/>
    <w:uiPriority w:val="99"/>
    <w:semiHidden/>
    <w:unhideWhenUsed/>
    <w:rsid w:val="00B05FF2"/>
    <w:rPr>
      <w:color w:val="605E5C"/>
      <w:shd w:val="clear" w:color="auto" w:fill="E1DFDD"/>
    </w:rPr>
  </w:style>
  <w:style w:type="character" w:customStyle="1" w:styleId="berschrift1Zchn">
    <w:name w:val="Überschrift 1 Zchn"/>
    <w:basedOn w:val="Absatz-Standardschriftart"/>
    <w:link w:val="berschrift1"/>
    <w:rsid w:val="00F56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32540">
      <w:bodyDiv w:val="1"/>
      <w:marLeft w:val="0"/>
      <w:marRight w:val="0"/>
      <w:marTop w:val="0"/>
      <w:marBottom w:val="0"/>
      <w:divBdr>
        <w:top w:val="none" w:sz="0" w:space="0" w:color="auto"/>
        <w:left w:val="none" w:sz="0" w:space="0" w:color="auto"/>
        <w:bottom w:val="none" w:sz="0" w:space="0" w:color="auto"/>
        <w:right w:val="none" w:sz="0" w:space="0" w:color="auto"/>
      </w:divBdr>
      <w:divsChild>
        <w:div w:id="2033189026">
          <w:marLeft w:val="0"/>
          <w:marRight w:val="0"/>
          <w:marTop w:val="0"/>
          <w:marBottom w:val="0"/>
          <w:divBdr>
            <w:top w:val="none" w:sz="0" w:space="0" w:color="auto"/>
            <w:left w:val="none" w:sz="0" w:space="0" w:color="auto"/>
            <w:bottom w:val="none" w:sz="0" w:space="0" w:color="auto"/>
            <w:right w:val="none" w:sz="0" w:space="0" w:color="auto"/>
          </w:divBdr>
        </w:div>
        <w:div w:id="1595169959">
          <w:marLeft w:val="0"/>
          <w:marRight w:val="0"/>
          <w:marTop w:val="0"/>
          <w:marBottom w:val="0"/>
          <w:divBdr>
            <w:top w:val="none" w:sz="0" w:space="0" w:color="auto"/>
            <w:left w:val="none" w:sz="0" w:space="0" w:color="auto"/>
            <w:bottom w:val="none" w:sz="0" w:space="0" w:color="auto"/>
            <w:right w:val="none" w:sz="0" w:space="0" w:color="auto"/>
          </w:divBdr>
        </w:div>
      </w:divsChild>
    </w:div>
    <w:div w:id="393088207">
      <w:bodyDiv w:val="1"/>
      <w:marLeft w:val="0"/>
      <w:marRight w:val="0"/>
      <w:marTop w:val="0"/>
      <w:marBottom w:val="0"/>
      <w:divBdr>
        <w:top w:val="none" w:sz="0" w:space="0" w:color="auto"/>
        <w:left w:val="none" w:sz="0" w:space="0" w:color="auto"/>
        <w:bottom w:val="none" w:sz="0" w:space="0" w:color="auto"/>
        <w:right w:val="none" w:sz="0" w:space="0" w:color="auto"/>
      </w:divBdr>
      <w:divsChild>
        <w:div w:id="710954564">
          <w:marLeft w:val="0"/>
          <w:marRight w:val="0"/>
          <w:marTop w:val="0"/>
          <w:marBottom w:val="0"/>
          <w:divBdr>
            <w:top w:val="none" w:sz="0" w:space="0" w:color="auto"/>
            <w:left w:val="none" w:sz="0" w:space="0" w:color="auto"/>
            <w:bottom w:val="none" w:sz="0" w:space="0" w:color="auto"/>
            <w:right w:val="none" w:sz="0" w:space="0" w:color="auto"/>
          </w:divBdr>
          <w:divsChild>
            <w:div w:id="377052787">
              <w:marLeft w:val="0"/>
              <w:marRight w:val="0"/>
              <w:marTop w:val="0"/>
              <w:marBottom w:val="0"/>
              <w:divBdr>
                <w:top w:val="none" w:sz="0" w:space="0" w:color="auto"/>
                <w:left w:val="none" w:sz="0" w:space="0" w:color="auto"/>
                <w:bottom w:val="none" w:sz="0" w:space="0" w:color="auto"/>
                <w:right w:val="none" w:sz="0" w:space="0" w:color="auto"/>
              </w:divBdr>
            </w:div>
            <w:div w:id="58216084">
              <w:marLeft w:val="0"/>
              <w:marRight w:val="0"/>
              <w:marTop w:val="0"/>
              <w:marBottom w:val="0"/>
              <w:divBdr>
                <w:top w:val="none" w:sz="0" w:space="0" w:color="auto"/>
                <w:left w:val="none" w:sz="0" w:space="0" w:color="auto"/>
                <w:bottom w:val="none" w:sz="0" w:space="0" w:color="auto"/>
                <w:right w:val="none" w:sz="0" w:space="0" w:color="auto"/>
              </w:divBdr>
            </w:div>
            <w:div w:id="5582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1848">
      <w:bodyDiv w:val="1"/>
      <w:marLeft w:val="0"/>
      <w:marRight w:val="0"/>
      <w:marTop w:val="0"/>
      <w:marBottom w:val="0"/>
      <w:divBdr>
        <w:top w:val="none" w:sz="0" w:space="0" w:color="auto"/>
        <w:left w:val="none" w:sz="0" w:space="0" w:color="auto"/>
        <w:bottom w:val="none" w:sz="0" w:space="0" w:color="auto"/>
        <w:right w:val="none" w:sz="0" w:space="0" w:color="auto"/>
      </w:divBdr>
      <w:divsChild>
        <w:div w:id="1458449249">
          <w:marLeft w:val="0"/>
          <w:marRight w:val="0"/>
          <w:marTop w:val="0"/>
          <w:marBottom w:val="0"/>
          <w:divBdr>
            <w:top w:val="none" w:sz="0" w:space="0" w:color="auto"/>
            <w:left w:val="none" w:sz="0" w:space="0" w:color="auto"/>
            <w:bottom w:val="none" w:sz="0" w:space="0" w:color="auto"/>
            <w:right w:val="none" w:sz="0" w:space="0" w:color="auto"/>
          </w:divBdr>
        </w:div>
      </w:divsChild>
    </w:div>
    <w:div w:id="708144054">
      <w:bodyDiv w:val="1"/>
      <w:marLeft w:val="0"/>
      <w:marRight w:val="0"/>
      <w:marTop w:val="0"/>
      <w:marBottom w:val="0"/>
      <w:divBdr>
        <w:top w:val="none" w:sz="0" w:space="0" w:color="auto"/>
        <w:left w:val="none" w:sz="0" w:space="0" w:color="auto"/>
        <w:bottom w:val="none" w:sz="0" w:space="0" w:color="auto"/>
        <w:right w:val="none" w:sz="0" w:space="0" w:color="auto"/>
      </w:divBdr>
      <w:divsChild>
        <w:div w:id="774597999">
          <w:marLeft w:val="0"/>
          <w:marRight w:val="0"/>
          <w:marTop w:val="0"/>
          <w:marBottom w:val="0"/>
          <w:divBdr>
            <w:top w:val="none" w:sz="0" w:space="0" w:color="auto"/>
            <w:left w:val="none" w:sz="0" w:space="0" w:color="auto"/>
            <w:bottom w:val="none" w:sz="0" w:space="0" w:color="auto"/>
            <w:right w:val="none" w:sz="0" w:space="0" w:color="auto"/>
          </w:divBdr>
        </w:div>
        <w:div w:id="1781298028">
          <w:marLeft w:val="0"/>
          <w:marRight w:val="0"/>
          <w:marTop w:val="0"/>
          <w:marBottom w:val="0"/>
          <w:divBdr>
            <w:top w:val="none" w:sz="0" w:space="0" w:color="auto"/>
            <w:left w:val="none" w:sz="0" w:space="0" w:color="auto"/>
            <w:bottom w:val="none" w:sz="0" w:space="0" w:color="auto"/>
            <w:right w:val="none" w:sz="0" w:space="0" w:color="auto"/>
          </w:divBdr>
        </w:div>
        <w:div w:id="265581063">
          <w:marLeft w:val="0"/>
          <w:marRight w:val="0"/>
          <w:marTop w:val="0"/>
          <w:marBottom w:val="0"/>
          <w:divBdr>
            <w:top w:val="none" w:sz="0" w:space="0" w:color="auto"/>
            <w:left w:val="none" w:sz="0" w:space="0" w:color="auto"/>
            <w:bottom w:val="none" w:sz="0" w:space="0" w:color="auto"/>
            <w:right w:val="none" w:sz="0" w:space="0" w:color="auto"/>
          </w:divBdr>
        </w:div>
      </w:divsChild>
    </w:div>
    <w:div w:id="1068306530">
      <w:bodyDiv w:val="1"/>
      <w:marLeft w:val="0"/>
      <w:marRight w:val="0"/>
      <w:marTop w:val="0"/>
      <w:marBottom w:val="0"/>
      <w:divBdr>
        <w:top w:val="none" w:sz="0" w:space="0" w:color="auto"/>
        <w:left w:val="none" w:sz="0" w:space="0" w:color="auto"/>
        <w:bottom w:val="none" w:sz="0" w:space="0" w:color="auto"/>
        <w:right w:val="none" w:sz="0" w:space="0" w:color="auto"/>
      </w:divBdr>
    </w:div>
    <w:div w:id="1291479347">
      <w:bodyDiv w:val="1"/>
      <w:marLeft w:val="0"/>
      <w:marRight w:val="0"/>
      <w:marTop w:val="0"/>
      <w:marBottom w:val="0"/>
      <w:divBdr>
        <w:top w:val="none" w:sz="0" w:space="0" w:color="auto"/>
        <w:left w:val="none" w:sz="0" w:space="0" w:color="auto"/>
        <w:bottom w:val="none" w:sz="0" w:space="0" w:color="auto"/>
        <w:right w:val="none" w:sz="0" w:space="0" w:color="auto"/>
      </w:divBdr>
    </w:div>
    <w:div w:id="1699162281">
      <w:bodyDiv w:val="1"/>
      <w:marLeft w:val="0"/>
      <w:marRight w:val="0"/>
      <w:marTop w:val="0"/>
      <w:marBottom w:val="0"/>
      <w:divBdr>
        <w:top w:val="none" w:sz="0" w:space="0" w:color="auto"/>
        <w:left w:val="none" w:sz="0" w:space="0" w:color="auto"/>
        <w:bottom w:val="none" w:sz="0" w:space="0" w:color="auto"/>
        <w:right w:val="none" w:sz="0" w:space="0" w:color="auto"/>
      </w:divBdr>
    </w:div>
    <w:div w:id="1972980205">
      <w:bodyDiv w:val="1"/>
      <w:marLeft w:val="0"/>
      <w:marRight w:val="0"/>
      <w:marTop w:val="0"/>
      <w:marBottom w:val="0"/>
      <w:divBdr>
        <w:top w:val="none" w:sz="0" w:space="0" w:color="auto"/>
        <w:left w:val="none" w:sz="0" w:space="0" w:color="auto"/>
        <w:bottom w:val="none" w:sz="0" w:space="0" w:color="auto"/>
        <w:right w:val="none" w:sz="0" w:space="0" w:color="auto"/>
      </w:divBdr>
    </w:div>
    <w:div w:id="19989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Vorlagen\FFB_Vorlage\FFB-Brief_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EC1F-5D61-4C45-BB30-335BE4F7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FFB-Brief_Vorlage.dotx</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Butz</dc:creator>
  <cp:lastModifiedBy>Josef Butzmann</cp:lastModifiedBy>
  <cp:revision>3</cp:revision>
  <cp:lastPrinted>2024-12-07T16:19:00Z</cp:lastPrinted>
  <dcterms:created xsi:type="dcterms:W3CDTF">2024-12-07T12:22:00Z</dcterms:created>
  <dcterms:modified xsi:type="dcterms:W3CDTF">2024-12-07T16:30:00Z</dcterms:modified>
</cp:coreProperties>
</file>